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22" w:type="dxa"/>
        <w:tblBorders>
          <w:top w:val="single" w:sz="18" w:space="0" w:color="98C794"/>
          <w:left w:val="single" w:sz="18" w:space="0" w:color="98C794"/>
          <w:bottom w:val="single" w:sz="18" w:space="0" w:color="98C794"/>
          <w:right w:val="single" w:sz="18" w:space="0" w:color="98C794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977"/>
        <w:gridCol w:w="2551"/>
        <w:gridCol w:w="709"/>
        <w:gridCol w:w="1559"/>
      </w:tblGrid>
      <w:tr w:rsidR="004347E8" w:rsidRPr="00120078" w14:paraId="6E75A335" w14:textId="77777777" w:rsidTr="00502552">
        <w:tc>
          <w:tcPr>
            <w:tcW w:w="1526" w:type="dxa"/>
            <w:shd w:val="clear" w:color="auto" w:fill="98C794"/>
          </w:tcPr>
          <w:p w14:paraId="0E35CC35" w14:textId="77777777" w:rsidR="004347E8" w:rsidRPr="00120078" w:rsidRDefault="004347E8" w:rsidP="00EF6A2D">
            <w:pPr>
              <w:spacing w:after="0" w:line="240" w:lineRule="auto"/>
              <w:jc w:val="right"/>
              <w:rPr>
                <w:b/>
                <w:color w:val="FFFFFF" w:themeColor="background1"/>
              </w:rPr>
            </w:pPr>
            <w:r w:rsidRPr="00120078">
              <w:rPr>
                <w:b/>
                <w:color w:val="FFFFFF" w:themeColor="background1"/>
              </w:rPr>
              <w:t>Produkt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6237" w:type="dxa"/>
            <w:gridSpan w:val="3"/>
            <w:shd w:val="clear" w:color="auto" w:fill="98C794"/>
          </w:tcPr>
          <w:p w14:paraId="40E7BB2F" w14:textId="07A37D35" w:rsidR="004347E8" w:rsidRDefault="00F60A67" w:rsidP="001A056A">
            <w:pPr>
              <w:pStyle w:val="Ingetavst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Kustsårbarhetsindex, erosion</w:t>
            </w:r>
          </w:p>
          <w:p w14:paraId="1504E12E" w14:textId="77777777" w:rsidR="00D118EA" w:rsidRPr="0079348B" w:rsidRDefault="00D118EA" w:rsidP="001A056A">
            <w:pPr>
              <w:pStyle w:val="Ingetavstnd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98C794"/>
          </w:tcPr>
          <w:p w14:paraId="773F52C9" w14:textId="77777777" w:rsidR="004347E8" w:rsidRPr="009334DC" w:rsidRDefault="00C148F2" w:rsidP="001A056A">
            <w:pPr>
              <w:pStyle w:val="Ingetavstnd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Senast uppdaterad</w:t>
            </w:r>
            <w:r w:rsidR="004347E8" w:rsidRPr="009334DC">
              <w:rPr>
                <w:color w:val="FFFFFF" w:themeColor="background1"/>
                <w:sz w:val="16"/>
                <w:szCs w:val="16"/>
              </w:rPr>
              <w:t>:</w:t>
            </w:r>
          </w:p>
          <w:p w14:paraId="5357E83F" w14:textId="31FF05BB" w:rsidR="004347E8" w:rsidRPr="0079348B" w:rsidRDefault="004347E8" w:rsidP="00F60A67">
            <w:pPr>
              <w:pStyle w:val="Ingetavstnd"/>
              <w:rPr>
                <w:b/>
                <w:color w:val="FFFFFF" w:themeColor="background1"/>
              </w:rPr>
            </w:pPr>
            <w:r w:rsidRPr="009334DC">
              <w:rPr>
                <w:color w:val="FFFFFF" w:themeColor="background1"/>
                <w:sz w:val="16"/>
                <w:szCs w:val="16"/>
              </w:rPr>
              <w:t>20</w:t>
            </w:r>
            <w:r w:rsidR="009815A1">
              <w:rPr>
                <w:color w:val="FFFFFF" w:themeColor="background1"/>
                <w:sz w:val="16"/>
                <w:szCs w:val="16"/>
              </w:rPr>
              <w:t>22-06-23</w:t>
            </w:r>
          </w:p>
        </w:tc>
      </w:tr>
      <w:tr w:rsidR="00120078" w:rsidRPr="00F21DF5" w14:paraId="56031595" w14:textId="77777777" w:rsidTr="00502552">
        <w:tc>
          <w:tcPr>
            <w:tcW w:w="1526" w:type="dxa"/>
          </w:tcPr>
          <w:p w14:paraId="32031ECB" w14:textId="77777777" w:rsidR="00120078" w:rsidRPr="00F21DF5" w:rsidRDefault="00120078" w:rsidP="00EF6A2D">
            <w:pPr>
              <w:spacing w:after="0" w:line="240" w:lineRule="auto"/>
              <w:jc w:val="right"/>
              <w:rPr>
                <w:b/>
              </w:rPr>
            </w:pPr>
            <w:r w:rsidRPr="00F21DF5">
              <w:rPr>
                <w:b/>
              </w:rPr>
              <w:t>Producent:</w:t>
            </w:r>
          </w:p>
        </w:tc>
        <w:tc>
          <w:tcPr>
            <w:tcW w:w="7796" w:type="dxa"/>
            <w:gridSpan w:val="4"/>
          </w:tcPr>
          <w:p w14:paraId="3CC11302" w14:textId="7ED73995" w:rsidR="00120078" w:rsidRPr="00B37BFD" w:rsidRDefault="00502552" w:rsidP="00CB5F7A">
            <w:pPr>
              <w:pStyle w:val="Ingetavstnd"/>
              <w:spacing w:after="120"/>
            </w:pPr>
            <w:r>
              <w:t>Statens Geotekniska Institut (SGI</w:t>
            </w:r>
            <w:r w:rsidR="009B4F48" w:rsidRPr="00B77A67">
              <w:t xml:space="preserve">), </w:t>
            </w:r>
            <w:hyperlink r:id="rId7" w:history="1">
              <w:r w:rsidR="00C840C1" w:rsidRPr="002341E1">
                <w:rPr>
                  <w:rStyle w:val="Hyperlnk"/>
                </w:rPr>
                <w:t>www.sgi.se</w:t>
              </w:r>
            </w:hyperlink>
            <w:r w:rsidR="00271DA4" w:rsidRPr="00DF2BA8">
              <w:rPr>
                <w:rStyle w:val="Hyperlnk"/>
                <w:color w:val="auto"/>
                <w:u w:val="none"/>
              </w:rPr>
              <w:t xml:space="preserve">, i </w:t>
            </w:r>
            <w:r w:rsidR="00CB5F7A">
              <w:rPr>
                <w:rStyle w:val="Hyperlnk"/>
                <w:color w:val="auto"/>
                <w:u w:val="none"/>
              </w:rPr>
              <w:t>samverkan</w:t>
            </w:r>
            <w:r w:rsidR="00271DA4" w:rsidRPr="00DF2BA8">
              <w:rPr>
                <w:rStyle w:val="Hyperlnk"/>
                <w:color w:val="auto"/>
                <w:u w:val="none"/>
              </w:rPr>
              <w:t xml:space="preserve"> med Sveriges geologiska undersökning (SGU)</w:t>
            </w:r>
            <w:r w:rsidR="009B4F48" w:rsidRPr="00DF2BA8">
              <w:t>.</w:t>
            </w:r>
            <w:r w:rsidR="00120078" w:rsidRPr="00DF2BA8">
              <w:t xml:space="preserve"> </w:t>
            </w:r>
          </w:p>
        </w:tc>
      </w:tr>
      <w:tr w:rsidR="00120078" w:rsidRPr="00F21DF5" w14:paraId="423E4D21" w14:textId="77777777" w:rsidTr="00B71403">
        <w:trPr>
          <w:trHeight w:val="250"/>
        </w:trPr>
        <w:tc>
          <w:tcPr>
            <w:tcW w:w="1526" w:type="dxa"/>
          </w:tcPr>
          <w:p w14:paraId="4F5FD782" w14:textId="77777777" w:rsidR="00120078" w:rsidRPr="008E5E95" w:rsidRDefault="00120078" w:rsidP="00EF6A2D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Dokument</w:t>
            </w:r>
            <w:r w:rsidRPr="008E5E95">
              <w:rPr>
                <w:b/>
              </w:rPr>
              <w:t>:</w:t>
            </w:r>
          </w:p>
        </w:tc>
        <w:tc>
          <w:tcPr>
            <w:tcW w:w="7796" w:type="dxa"/>
            <w:gridSpan w:val="4"/>
          </w:tcPr>
          <w:p w14:paraId="2ADB8306" w14:textId="345A9DFC" w:rsidR="00120078" w:rsidRPr="008D7C40" w:rsidRDefault="00BD671E" w:rsidP="00B71403">
            <w:pPr>
              <w:pStyle w:val="Ingetavstnd"/>
              <w:spacing w:after="120"/>
            </w:pPr>
            <w:hyperlink r:id="rId8" w:history="1">
              <w:r w:rsidRPr="00BD671E">
                <w:rPr>
                  <w:rStyle w:val="Hyperlnk"/>
                </w:rPr>
                <w:t>Rapport</w:t>
              </w:r>
            </w:hyperlink>
          </w:p>
        </w:tc>
      </w:tr>
      <w:tr w:rsidR="00120078" w:rsidRPr="00F21DF5" w14:paraId="17267C03" w14:textId="77777777" w:rsidTr="00502552">
        <w:tc>
          <w:tcPr>
            <w:tcW w:w="1526" w:type="dxa"/>
          </w:tcPr>
          <w:p w14:paraId="6B21BD8F" w14:textId="77777777" w:rsidR="00120078" w:rsidRPr="00F21DF5" w:rsidRDefault="00120078" w:rsidP="00EF6A2D">
            <w:pPr>
              <w:pStyle w:val="Ingetavstnd"/>
              <w:jc w:val="right"/>
              <w:rPr>
                <w:rFonts w:asciiTheme="minorHAnsi" w:hAnsiTheme="minorHAnsi"/>
                <w:b/>
              </w:rPr>
            </w:pPr>
            <w:r w:rsidRPr="00D73663">
              <w:rPr>
                <w:b/>
              </w:rPr>
              <w:t>Innehåll</w:t>
            </w:r>
            <w:r w:rsidRPr="00F21DF5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796" w:type="dxa"/>
            <w:gridSpan w:val="4"/>
          </w:tcPr>
          <w:p w14:paraId="0871F73C" w14:textId="1995E5BC" w:rsidR="00EF6A2D" w:rsidRPr="008D7C40" w:rsidRDefault="003E64A8">
            <w:pPr>
              <w:pStyle w:val="Ingetavstnd"/>
              <w:tabs>
                <w:tab w:val="left" w:pos="3986"/>
                <w:tab w:val="left" w:pos="6140"/>
              </w:tabs>
              <w:spacing w:after="120"/>
            </w:pPr>
            <w:r w:rsidRPr="006717B6">
              <w:t>Produkten</w:t>
            </w:r>
            <w:r w:rsidR="00F60A67" w:rsidRPr="006717B6">
              <w:t xml:space="preserve"> innehåller </w:t>
            </w:r>
            <w:r w:rsidR="00F60A67">
              <w:t>Kustså</w:t>
            </w:r>
            <w:r w:rsidR="009A59F0">
              <w:t xml:space="preserve">rbarhetsindex (KSI) för erosion </w:t>
            </w:r>
            <w:r w:rsidR="00F60A67">
              <w:t>samt de parametrar som bildar un</w:t>
            </w:r>
            <w:r w:rsidR="00505851">
              <w:t>derlag för framtagandet av KSI; F</w:t>
            </w:r>
            <w:r w:rsidR="00F60A67">
              <w:t>örutsättningar</w:t>
            </w:r>
            <w:r w:rsidR="00033634">
              <w:t xml:space="preserve"> för erosion</w:t>
            </w:r>
            <w:r w:rsidR="00F60A67">
              <w:t xml:space="preserve"> och </w:t>
            </w:r>
            <w:r w:rsidR="00505851">
              <w:t>S</w:t>
            </w:r>
            <w:r w:rsidR="00033634">
              <w:t>amhällsvärden</w:t>
            </w:r>
            <w:r w:rsidR="00F60A67">
              <w:t>.</w:t>
            </w:r>
            <w:r w:rsidR="0022060F">
              <w:t xml:space="preserve"> </w:t>
            </w:r>
            <w:r w:rsidR="0022060F">
              <w:br/>
            </w:r>
            <w:r w:rsidR="009E21F3">
              <w:t>KSI med underlag finns även i en egen kartvisningstjänst</w:t>
            </w:r>
            <w:r w:rsidR="00F60A67">
              <w:t xml:space="preserve"> </w:t>
            </w:r>
            <w:hyperlink r:id="rId9" w:history="1">
              <w:r w:rsidR="00C840C1" w:rsidRPr="002341E1">
                <w:rPr>
                  <w:rStyle w:val="Hyperlnk"/>
                </w:rPr>
                <w:t>https://gis.sgi.se/ksi_erosion/</w:t>
              </w:r>
            </w:hyperlink>
            <w:r w:rsidR="00C840C1">
              <w:t xml:space="preserve"> </w:t>
            </w:r>
          </w:p>
        </w:tc>
      </w:tr>
      <w:tr w:rsidR="00120078" w:rsidRPr="00F21DF5" w14:paraId="44EE3BE7" w14:textId="77777777" w:rsidTr="00502552">
        <w:tc>
          <w:tcPr>
            <w:tcW w:w="1526" w:type="dxa"/>
          </w:tcPr>
          <w:p w14:paraId="3A702FF2" w14:textId="77777777" w:rsidR="00120078" w:rsidRPr="00F21DF5" w:rsidRDefault="00120078" w:rsidP="00EF6A2D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Be</w:t>
            </w:r>
            <w:r w:rsidRPr="00F21DF5">
              <w:rPr>
                <w:b/>
              </w:rPr>
              <w:t>grepp:</w:t>
            </w:r>
          </w:p>
        </w:tc>
        <w:tc>
          <w:tcPr>
            <w:tcW w:w="7796" w:type="dxa"/>
            <w:gridSpan w:val="4"/>
          </w:tcPr>
          <w:p w14:paraId="7CEC1ADF" w14:textId="77777777" w:rsidR="00F60A67" w:rsidRPr="00192819" w:rsidRDefault="00F60A67" w:rsidP="00B71403">
            <w:pPr>
              <w:pStyle w:val="Default"/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EF6A2D">
              <w:rPr>
                <w:rFonts w:asciiTheme="minorHAnsi" w:hAnsiTheme="minorHAnsi" w:cs="Times New Roman"/>
                <w:i/>
                <w:sz w:val="20"/>
                <w:szCs w:val="20"/>
              </w:rPr>
              <w:t>Kustsårbarhetsindexet</w:t>
            </w:r>
            <w:r w:rsidR="009A59F0">
              <w:rPr>
                <w:rFonts w:asciiTheme="minorHAnsi" w:hAnsiTheme="minorHAnsi" w:cs="Times New Roman"/>
                <w:i/>
                <w:sz w:val="20"/>
                <w:szCs w:val="20"/>
              </w:rPr>
              <w:t xml:space="preserve"> (KSI)</w:t>
            </w:r>
            <w:r w:rsidRPr="00A233AE">
              <w:rPr>
                <w:rFonts w:asciiTheme="minorHAnsi" w:hAnsiTheme="minorHAnsi" w:cs="Times New Roman"/>
                <w:sz w:val="20"/>
                <w:szCs w:val="20"/>
              </w:rPr>
              <w:t xml:space="preserve"> är </w:t>
            </w:r>
            <w:r w:rsidR="00370AE2">
              <w:rPr>
                <w:rFonts w:asciiTheme="minorHAnsi" w:hAnsiTheme="minorHAnsi" w:cs="Times New Roman"/>
                <w:sz w:val="20"/>
                <w:szCs w:val="20"/>
              </w:rPr>
              <w:t xml:space="preserve">en funktion </w:t>
            </w:r>
            <w:r w:rsidRPr="00A233AE">
              <w:rPr>
                <w:rFonts w:asciiTheme="minorHAnsi" w:hAnsiTheme="minorHAnsi"/>
                <w:bCs/>
                <w:sz w:val="20"/>
              </w:rPr>
              <w:t xml:space="preserve">av förutsättningar för erosion </w:t>
            </w:r>
            <w:r w:rsidRPr="00A233AE">
              <w:rPr>
                <w:rFonts w:asciiTheme="minorHAnsi" w:hAnsiTheme="minorHAnsi"/>
                <w:bCs/>
                <w:sz w:val="20"/>
                <w:szCs w:val="20"/>
              </w:rPr>
              <w:t xml:space="preserve">och </w:t>
            </w:r>
            <w:r w:rsidR="009E21F3">
              <w:rPr>
                <w:rFonts w:asciiTheme="minorHAnsi" w:hAnsiTheme="minorHAnsi"/>
                <w:bCs/>
                <w:sz w:val="20"/>
                <w:szCs w:val="20"/>
              </w:rPr>
              <w:t>samhällsvärden som kan påverkas av erosionen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. Indexet identifierar områden som har potential att erodera under särskilda förhållanden, t.ex. vid stormtillfällen och höga vattennivåer</w:t>
            </w:r>
            <w:r w:rsidR="005B6207">
              <w:rPr>
                <w:rFonts w:asciiTheme="minorHAnsi" w:hAnsiTheme="minorHAnsi"/>
                <w:bCs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men även vid de ständigt pågående (långsamma) erosionsprocesserna</w:t>
            </w:r>
            <w:r w:rsidR="005B6207">
              <w:rPr>
                <w:rFonts w:asciiTheme="minorHAnsi" w:hAnsiTheme="minorHAnsi"/>
                <w:bCs/>
                <w:sz w:val="20"/>
                <w:szCs w:val="20"/>
              </w:rPr>
              <w:t>,</w:t>
            </w:r>
            <w:r w:rsidR="009E21F3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205E13">
              <w:rPr>
                <w:rFonts w:asciiTheme="minorHAnsi" w:hAnsiTheme="minorHAnsi"/>
                <w:bCs/>
                <w:sz w:val="20"/>
                <w:szCs w:val="20"/>
              </w:rPr>
              <w:t>samt</w:t>
            </w:r>
            <w:r w:rsidR="009E21F3">
              <w:rPr>
                <w:rFonts w:asciiTheme="minorHAnsi" w:hAnsiTheme="minorHAnsi"/>
                <w:bCs/>
                <w:sz w:val="20"/>
                <w:szCs w:val="20"/>
              </w:rPr>
              <w:t xml:space="preserve"> vilka konsekvenser det kan medföra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. </w:t>
            </w:r>
          </w:p>
          <w:p w14:paraId="08CFD38D" w14:textId="77777777" w:rsidR="00F60A67" w:rsidRDefault="00F60A67" w:rsidP="00B71403">
            <w:pPr>
              <w:pStyle w:val="Ingetavstnd"/>
              <w:spacing w:after="60"/>
            </w:pPr>
            <w:r w:rsidRPr="00EF6A2D">
              <w:rPr>
                <w:rFonts w:asciiTheme="minorHAnsi" w:hAnsiTheme="minorHAnsi" w:cs="Arial"/>
                <w:i/>
                <w:szCs w:val="25"/>
              </w:rPr>
              <w:t>Sårbarhet</w:t>
            </w:r>
            <w:r w:rsidRPr="00A233AE">
              <w:rPr>
                <w:rFonts w:asciiTheme="minorHAnsi" w:hAnsiTheme="minorHAnsi" w:cs="Arial"/>
                <w:b/>
                <w:szCs w:val="25"/>
              </w:rPr>
              <w:t>:</w:t>
            </w:r>
            <w:r>
              <w:rPr>
                <w:rFonts w:asciiTheme="minorHAnsi" w:hAnsiTheme="minorHAnsi" w:cs="Arial"/>
                <w:szCs w:val="25"/>
              </w:rPr>
              <w:t xml:space="preserve"> </w:t>
            </w:r>
            <w:r w:rsidR="001B5912">
              <w:t>Med sårbarhet menas i detta sammanhang ett objekt (byggnader, vägar och järnvägar) som kan påverkas negativt av erosion.</w:t>
            </w:r>
          </w:p>
          <w:p w14:paraId="27F3897D" w14:textId="77777777" w:rsidR="00505851" w:rsidRPr="008D7C40" w:rsidRDefault="00505851" w:rsidP="00B71403">
            <w:pPr>
              <w:pStyle w:val="Ingetavstnd"/>
              <w:spacing w:after="60"/>
            </w:pPr>
          </w:p>
        </w:tc>
      </w:tr>
      <w:tr w:rsidR="00120078" w:rsidRPr="00F21DF5" w14:paraId="0F855C25" w14:textId="77777777" w:rsidTr="0041423E">
        <w:trPr>
          <w:trHeight w:val="2202"/>
        </w:trPr>
        <w:tc>
          <w:tcPr>
            <w:tcW w:w="1526" w:type="dxa"/>
          </w:tcPr>
          <w:p w14:paraId="027CEF4E" w14:textId="77777777" w:rsidR="0079348B" w:rsidRDefault="00120078" w:rsidP="00EF6A2D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Symboler och täckning</w:t>
            </w:r>
            <w:r w:rsidR="008B5083">
              <w:rPr>
                <w:b/>
              </w:rPr>
              <w:t>:</w:t>
            </w:r>
          </w:p>
          <w:p w14:paraId="0DF52369" w14:textId="77777777" w:rsidR="00120078" w:rsidRPr="00F21DF5" w:rsidRDefault="00120078" w:rsidP="00EF6A2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977" w:type="dxa"/>
          </w:tcPr>
          <w:p w14:paraId="105C1CBC" w14:textId="77777777" w:rsidR="007B7AB1" w:rsidRDefault="002E704E" w:rsidP="00192819">
            <w:pPr>
              <w:pStyle w:val="Ingetavstnd"/>
            </w:pPr>
            <w:r w:rsidRPr="00B37BFD">
              <w:t>Kartutsnitt</w:t>
            </w:r>
          </w:p>
          <w:p w14:paraId="38C71B82" w14:textId="55D79389" w:rsidR="00120078" w:rsidRDefault="009F52B6">
            <w:pPr>
              <w:pStyle w:val="Ingetavstnd"/>
              <w:spacing w:after="120"/>
            </w:pPr>
            <w:r>
              <w:rPr>
                <w:noProof/>
              </w:rPr>
              <w:drawing>
                <wp:inline distT="0" distB="0" distL="0" distR="0" wp14:anchorId="4A43E1EF" wp14:editId="57601646">
                  <wp:extent cx="1619885" cy="1489295"/>
                  <wp:effectExtent l="0" t="0" r="0" b="0"/>
                  <wp:docPr id="10" name="Bildobjek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4427"/>
                          <a:stretch/>
                        </pic:blipFill>
                        <pic:spPr bwMode="auto">
                          <a:xfrm>
                            <a:off x="0" y="0"/>
                            <a:ext cx="1620000" cy="1489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772171" w14:textId="087FB85B" w:rsidR="0093119D" w:rsidRDefault="009F52B6">
            <w:pPr>
              <w:pStyle w:val="Ingetavstnd"/>
              <w:spacing w:after="120"/>
            </w:pPr>
            <w:r>
              <w:rPr>
                <w:noProof/>
              </w:rPr>
              <w:drawing>
                <wp:inline distT="0" distB="0" distL="0" distR="0" wp14:anchorId="26D03C53" wp14:editId="6C0E000B">
                  <wp:extent cx="1620000" cy="1526708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526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4AD65F" w14:textId="42D7F244" w:rsidR="00621D9A" w:rsidRPr="00B37BFD" w:rsidRDefault="009F52B6">
            <w:pPr>
              <w:pStyle w:val="Ingetavstnd"/>
              <w:spacing w:after="120"/>
            </w:pPr>
            <w:r>
              <w:rPr>
                <w:noProof/>
              </w:rPr>
              <w:drawing>
                <wp:inline distT="0" distB="0" distL="0" distR="0" wp14:anchorId="7175EBFF" wp14:editId="66D8399E">
                  <wp:extent cx="1618818" cy="1516456"/>
                  <wp:effectExtent l="0" t="0" r="635" b="7620"/>
                  <wp:docPr id="11" name="Bildobjek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t="6374" b="8211"/>
                          <a:stretch/>
                        </pic:blipFill>
                        <pic:spPr bwMode="auto">
                          <a:xfrm>
                            <a:off x="0" y="0"/>
                            <a:ext cx="1620000" cy="1517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240EF10D" w14:textId="77777777" w:rsidR="007B7AB1" w:rsidRDefault="00120078" w:rsidP="00192819">
            <w:pPr>
              <w:pStyle w:val="Ingetavstnd"/>
            </w:pPr>
            <w:r w:rsidRPr="00B37BFD">
              <w:t>Symbolsättning</w:t>
            </w:r>
          </w:p>
          <w:p w14:paraId="6C4240FC" w14:textId="77777777" w:rsidR="001837AA" w:rsidRDefault="001837AA" w:rsidP="00121352">
            <w:pPr>
              <w:pStyle w:val="Ingetavstnd"/>
              <w:jc w:val="center"/>
            </w:pPr>
          </w:p>
          <w:p w14:paraId="44C3E567" w14:textId="77777777" w:rsidR="00505851" w:rsidRDefault="00505851" w:rsidP="00505851">
            <w:pPr>
              <w:pStyle w:val="Ingetavstnd"/>
            </w:pPr>
            <w:r>
              <w:t>Kustsårbarhetsindex</w:t>
            </w:r>
          </w:p>
          <w:p w14:paraId="2A4482F3" w14:textId="77777777" w:rsidR="00801EFB" w:rsidRDefault="001837AA" w:rsidP="00192819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52F9BCD2" wp14:editId="51CD99DB">
                  <wp:extent cx="1372222" cy="762000"/>
                  <wp:effectExtent l="0" t="0" r="0" b="0"/>
                  <wp:docPr id="4" name="Bildobjekt 4" descr="H:\jimhed\15136 - Sårbarhetskartering KUST\png\legend_produktblad_KSI_onl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jimhed\15136 - Sårbarhetskartering KUST\png\legend_produktblad_KSI_only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792"/>
                          <a:stretch/>
                        </pic:blipFill>
                        <pic:spPr bwMode="auto">
                          <a:xfrm>
                            <a:off x="0" y="0"/>
                            <a:ext cx="1372630" cy="762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6078A6" w14:textId="77777777" w:rsidR="00505851" w:rsidRDefault="00505851" w:rsidP="00192819">
            <w:pPr>
              <w:spacing w:after="0"/>
            </w:pPr>
          </w:p>
          <w:p w14:paraId="0D014004" w14:textId="77777777" w:rsidR="00505851" w:rsidRDefault="00505851" w:rsidP="00192819">
            <w:pPr>
              <w:spacing w:after="0"/>
            </w:pPr>
          </w:p>
          <w:p w14:paraId="0401866A" w14:textId="77777777" w:rsidR="00505851" w:rsidRDefault="00505851" w:rsidP="00192819">
            <w:pPr>
              <w:spacing w:after="0"/>
            </w:pPr>
          </w:p>
          <w:p w14:paraId="498E4362" w14:textId="77777777" w:rsidR="00F56ECD" w:rsidRDefault="00F56ECD" w:rsidP="00192819">
            <w:pPr>
              <w:spacing w:after="0"/>
            </w:pPr>
          </w:p>
          <w:p w14:paraId="71BBED40" w14:textId="77777777" w:rsidR="00505851" w:rsidRDefault="00505851" w:rsidP="00192819">
            <w:pPr>
              <w:spacing w:after="0"/>
            </w:pPr>
            <w:r>
              <w:t>Förutsättningar för erosion</w:t>
            </w:r>
          </w:p>
          <w:p w14:paraId="5189AA9B" w14:textId="77777777" w:rsidR="00505851" w:rsidRDefault="00505851" w:rsidP="00192819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57945108" wp14:editId="6FF57E03">
                  <wp:extent cx="1372222" cy="762000"/>
                  <wp:effectExtent l="0" t="0" r="0" b="0"/>
                  <wp:docPr id="5" name="Bildobjekt 5" descr="H:\jimhed\15136 - Sårbarhetskartering KUST\png\legend_produktblad_KSI_onl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jimhed\15136 - Sårbarhetskartering KUST\png\legend_produktblad_KSI_only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792"/>
                          <a:stretch/>
                        </pic:blipFill>
                        <pic:spPr bwMode="auto">
                          <a:xfrm>
                            <a:off x="0" y="0"/>
                            <a:ext cx="1372630" cy="762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62EDFA" w14:textId="77777777" w:rsidR="00505851" w:rsidRDefault="00505851" w:rsidP="00192819">
            <w:pPr>
              <w:spacing w:after="0"/>
            </w:pPr>
          </w:p>
          <w:p w14:paraId="5350585A" w14:textId="77777777" w:rsidR="00505851" w:rsidRDefault="00505851" w:rsidP="00192819">
            <w:pPr>
              <w:spacing w:after="0"/>
            </w:pPr>
          </w:p>
          <w:p w14:paraId="4C5A47F1" w14:textId="77777777" w:rsidR="00505851" w:rsidRDefault="00505851" w:rsidP="00192819">
            <w:pPr>
              <w:spacing w:after="0"/>
            </w:pPr>
          </w:p>
          <w:p w14:paraId="3E86BAD3" w14:textId="77777777" w:rsidR="00505851" w:rsidRDefault="00505851" w:rsidP="00192819">
            <w:pPr>
              <w:spacing w:after="0"/>
            </w:pPr>
            <w:r>
              <w:t>Samhällsvärden</w:t>
            </w:r>
          </w:p>
          <w:p w14:paraId="51B9F510" w14:textId="77777777" w:rsidR="00505851" w:rsidRPr="00505851" w:rsidRDefault="00505851" w:rsidP="00192819">
            <w:pPr>
              <w:spacing w:after="0"/>
              <w:rPr>
                <w:sz w:val="18"/>
                <w:szCs w:val="18"/>
              </w:rPr>
            </w:pPr>
            <w:r w:rsidRPr="00505851">
              <w:rPr>
                <w:sz w:val="18"/>
                <w:szCs w:val="18"/>
              </w:rPr>
              <w:t>(byggnader, vägar, järnvägar)</w:t>
            </w:r>
          </w:p>
          <w:p w14:paraId="65FB3A6E" w14:textId="5B8293EE" w:rsidR="00505851" w:rsidRDefault="00C840C1" w:rsidP="00192819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B720873" wp14:editId="58278D71">
                  <wp:simplePos x="0" y="0"/>
                  <wp:positionH relativeFrom="column">
                    <wp:posOffset>176</wp:posOffset>
                  </wp:positionH>
                  <wp:positionV relativeFrom="paragraph">
                    <wp:posOffset>2427</wp:posOffset>
                  </wp:positionV>
                  <wp:extent cx="2003325" cy="950614"/>
                  <wp:effectExtent l="0" t="0" r="0" b="1905"/>
                  <wp:wrapNone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325" cy="950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1FD8312" w14:textId="77777777" w:rsidR="00505851" w:rsidRDefault="00505851" w:rsidP="00192819">
            <w:pPr>
              <w:spacing w:after="0"/>
            </w:pPr>
          </w:p>
          <w:p w14:paraId="259A4612" w14:textId="77777777" w:rsidR="00505851" w:rsidRPr="00B37BFD" w:rsidRDefault="00505851" w:rsidP="00192819">
            <w:pPr>
              <w:spacing w:after="0"/>
            </w:pPr>
          </w:p>
        </w:tc>
        <w:tc>
          <w:tcPr>
            <w:tcW w:w="2268" w:type="dxa"/>
            <w:gridSpan w:val="2"/>
          </w:tcPr>
          <w:p w14:paraId="2A7EF62F" w14:textId="77777777" w:rsidR="00AC0A60" w:rsidRDefault="00120078" w:rsidP="00192819">
            <w:pPr>
              <w:pStyle w:val="Ingetavstnd"/>
              <w:ind w:left="-108"/>
            </w:pPr>
            <w:r w:rsidRPr="00B37BFD">
              <w:t>Täckningska</w:t>
            </w:r>
            <w:r w:rsidR="00CC3CCD" w:rsidRPr="00B37BFD">
              <w:t>rta</w:t>
            </w:r>
          </w:p>
          <w:p w14:paraId="63B73427" w14:textId="77777777" w:rsidR="00505851" w:rsidRDefault="00505851" w:rsidP="00192819">
            <w:pPr>
              <w:pStyle w:val="Ingetavstnd"/>
              <w:ind w:left="-108"/>
            </w:pPr>
          </w:p>
          <w:p w14:paraId="06589629" w14:textId="310722BB" w:rsidR="003B5925" w:rsidRPr="00B37BFD" w:rsidRDefault="00BF0BA7" w:rsidP="00192819">
            <w:pPr>
              <w:pStyle w:val="Ingetavstnd"/>
              <w:ind w:left="-108"/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79CC3D24" wp14:editId="0F4B7452">
                  <wp:extent cx="1303020" cy="1884680"/>
                  <wp:effectExtent l="19050" t="19050" r="11430" b="20320"/>
                  <wp:docPr id="2" name="Bildobjekt 2" descr="En bild som visar kart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 descr="En bild som visar karta&#10;&#10;Automatiskt genererad beskrivni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8846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078" w:rsidRPr="00F21DF5" w14:paraId="71834311" w14:textId="77777777" w:rsidTr="00502552">
        <w:tc>
          <w:tcPr>
            <w:tcW w:w="1526" w:type="dxa"/>
          </w:tcPr>
          <w:p w14:paraId="0A2CA23B" w14:textId="77777777" w:rsidR="00120078" w:rsidRPr="00F21DF5" w:rsidRDefault="00120078" w:rsidP="00EF6A2D">
            <w:pPr>
              <w:spacing w:after="0" w:line="240" w:lineRule="auto"/>
              <w:jc w:val="right"/>
              <w:rPr>
                <w:b/>
              </w:rPr>
            </w:pPr>
            <w:r w:rsidRPr="00F21DF5">
              <w:rPr>
                <w:b/>
              </w:rPr>
              <w:t xml:space="preserve">Skala och </w:t>
            </w:r>
            <w:r>
              <w:rPr>
                <w:b/>
              </w:rPr>
              <w:t>noggrannhet</w:t>
            </w:r>
            <w:r w:rsidRPr="00F21DF5">
              <w:rPr>
                <w:b/>
              </w:rPr>
              <w:t>:</w:t>
            </w:r>
          </w:p>
        </w:tc>
        <w:tc>
          <w:tcPr>
            <w:tcW w:w="7796" w:type="dxa"/>
            <w:gridSpan w:val="4"/>
          </w:tcPr>
          <w:p w14:paraId="6D585A0B" w14:textId="77777777" w:rsidR="000A6B9E" w:rsidRPr="008D7C40" w:rsidRDefault="00F60A67" w:rsidP="00B71403">
            <w:pPr>
              <w:pStyle w:val="Ingetavstnd"/>
              <w:spacing w:after="120"/>
            </w:pPr>
            <w:r>
              <w:t xml:space="preserve">Kartan används i skala 1:10 000 och </w:t>
            </w:r>
            <w:r w:rsidR="00DB6560">
              <w:t xml:space="preserve">har en </w:t>
            </w:r>
            <w:r>
              <w:t xml:space="preserve">upplösning </w:t>
            </w:r>
            <w:r w:rsidR="00DB6560">
              <w:t>på</w:t>
            </w:r>
            <w:r>
              <w:t xml:space="preserve"> 10 m. Se vidare under </w:t>
            </w:r>
            <w:r w:rsidRPr="007F44F7">
              <w:rPr>
                <w:i/>
              </w:rPr>
              <w:t>Framtagning och underlag</w:t>
            </w:r>
            <w:r>
              <w:t>.</w:t>
            </w:r>
          </w:p>
        </w:tc>
      </w:tr>
      <w:tr w:rsidR="00120078" w:rsidRPr="00F21DF5" w14:paraId="0CE7BD2E" w14:textId="77777777" w:rsidTr="00502552">
        <w:tc>
          <w:tcPr>
            <w:tcW w:w="1526" w:type="dxa"/>
          </w:tcPr>
          <w:p w14:paraId="53B0D2BE" w14:textId="77777777" w:rsidR="00120078" w:rsidRPr="008E5E95" w:rsidRDefault="00120078" w:rsidP="00EF6A2D">
            <w:pPr>
              <w:spacing w:after="0" w:line="240" w:lineRule="auto"/>
              <w:jc w:val="right"/>
              <w:rPr>
                <w:b/>
              </w:rPr>
            </w:pPr>
            <w:r w:rsidRPr="008E5E95">
              <w:rPr>
                <w:b/>
              </w:rPr>
              <w:t xml:space="preserve">Begränsningar: </w:t>
            </w:r>
          </w:p>
        </w:tc>
        <w:tc>
          <w:tcPr>
            <w:tcW w:w="7796" w:type="dxa"/>
            <w:gridSpan w:val="4"/>
          </w:tcPr>
          <w:p w14:paraId="4191AEB2" w14:textId="77777777" w:rsidR="00120078" w:rsidRPr="008D7C40" w:rsidRDefault="00F60A67" w:rsidP="00621D9A">
            <w:pPr>
              <w:pStyle w:val="Ingetavstnd"/>
              <w:spacing w:after="240"/>
            </w:pPr>
            <w:r>
              <w:rPr>
                <w:rFonts w:asciiTheme="minorHAnsi" w:eastAsia="Times New Roman" w:hAnsiTheme="minorHAnsi"/>
                <w:color w:val="000000"/>
              </w:rPr>
              <w:t>Parametrarna är strikt matematiskt framtagna och baseras således på underlag utan vidare bedömning eller manuell korrigering utifrån kända förhållanden</w:t>
            </w:r>
            <w:r w:rsidRPr="006717B6">
              <w:rPr>
                <w:rFonts w:asciiTheme="minorHAnsi" w:eastAsia="Times New Roman" w:hAnsiTheme="minorHAnsi"/>
              </w:rPr>
              <w:t xml:space="preserve">. </w:t>
            </w:r>
            <w:r w:rsidR="00C55FEA" w:rsidRPr="006717B6">
              <w:rPr>
                <w:rFonts w:asciiTheme="minorHAnsi" w:eastAsia="Times New Roman" w:hAnsiTheme="minorHAnsi"/>
              </w:rPr>
              <w:t xml:space="preserve">Samhällsvärden baseras på Lantmäteriets information i fastighetskartan för byggnadsändamål, samt vägar och järnvägar. </w:t>
            </w:r>
            <w:r w:rsidR="00621D9A" w:rsidRPr="006717B6">
              <w:rPr>
                <w:rFonts w:asciiTheme="minorHAnsi" w:eastAsia="Times New Roman" w:hAnsiTheme="minorHAnsi"/>
              </w:rPr>
              <w:t xml:space="preserve">Klassning av byggnadsändamål kan ha varierad kvalitet och uppdateringsfrekvens. </w:t>
            </w:r>
            <w:r w:rsidR="00621D9A">
              <w:rPr>
                <w:rFonts w:asciiTheme="minorHAnsi" w:eastAsia="Times New Roman" w:hAnsiTheme="minorHAnsi"/>
                <w:color w:val="000000"/>
              </w:rPr>
              <w:t>Därför skall resultaten betraktas som ”indikation” snarare än ”absolut”.</w:t>
            </w:r>
          </w:p>
        </w:tc>
      </w:tr>
      <w:tr w:rsidR="00120078" w:rsidRPr="00F21DF5" w14:paraId="6A9A8E96" w14:textId="77777777" w:rsidTr="00502552">
        <w:tc>
          <w:tcPr>
            <w:tcW w:w="1526" w:type="dxa"/>
          </w:tcPr>
          <w:p w14:paraId="3151515F" w14:textId="77777777" w:rsidR="00120078" w:rsidRPr="00F21DF5" w:rsidRDefault="00120078" w:rsidP="00EF6A2D">
            <w:pPr>
              <w:spacing w:after="0" w:line="240" w:lineRule="auto"/>
              <w:jc w:val="right"/>
              <w:rPr>
                <w:b/>
              </w:rPr>
            </w:pPr>
            <w:r w:rsidRPr="00F21DF5">
              <w:rPr>
                <w:b/>
              </w:rPr>
              <w:lastRenderedPageBreak/>
              <w:t>Framtagning</w:t>
            </w:r>
            <w:r>
              <w:rPr>
                <w:b/>
              </w:rPr>
              <w:t xml:space="preserve"> o</w:t>
            </w:r>
            <w:r w:rsidRPr="00F21DF5">
              <w:rPr>
                <w:b/>
              </w:rPr>
              <w:t>ch underlag:</w:t>
            </w:r>
          </w:p>
        </w:tc>
        <w:tc>
          <w:tcPr>
            <w:tcW w:w="7796" w:type="dxa"/>
            <w:gridSpan w:val="4"/>
          </w:tcPr>
          <w:p w14:paraId="17AB842E" w14:textId="77777777" w:rsidR="007E0AF0" w:rsidRDefault="00F60A67" w:rsidP="00B71403">
            <w:pPr>
              <w:pStyle w:val="Default"/>
              <w:spacing w:after="6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Kustsårbarhetsindex, erosion, är den normaliserade summan av förutsättningar</w:t>
            </w:r>
            <w:r w:rsidR="00033634">
              <w:rPr>
                <w:rFonts w:asciiTheme="minorHAnsi" w:hAnsiTheme="minorHAnsi" w:cs="Times New Roman"/>
                <w:sz w:val="20"/>
                <w:szCs w:val="20"/>
              </w:rPr>
              <w:t xml:space="preserve"> för erosion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och </w:t>
            </w:r>
            <w:r w:rsidR="00033634">
              <w:rPr>
                <w:rFonts w:asciiTheme="minorHAnsi" w:hAnsiTheme="minorHAnsi" w:cs="Times New Roman"/>
                <w:sz w:val="20"/>
                <w:szCs w:val="20"/>
              </w:rPr>
              <w:t>samhällsvärden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. </w:t>
            </w:r>
            <w:r w:rsidR="009E21F3" w:rsidRPr="009E21F3">
              <w:rPr>
                <w:rFonts w:asciiTheme="minorHAnsi" w:hAnsiTheme="minorHAnsi" w:cs="Times New Roman"/>
                <w:sz w:val="20"/>
                <w:szCs w:val="20"/>
              </w:rPr>
              <w:t>KSI</w:t>
            </w:r>
            <w:r w:rsidR="00BC6699">
              <w:rPr>
                <w:rFonts w:asciiTheme="minorHAnsi" w:hAnsiTheme="minorHAnsi" w:cs="Times New Roman"/>
                <w:sz w:val="20"/>
                <w:szCs w:val="20"/>
              </w:rPr>
              <w:t>-erosion</w:t>
            </w:r>
            <w:r w:rsidR="009E21F3" w:rsidRPr="009E21F3">
              <w:rPr>
                <w:rFonts w:asciiTheme="minorHAnsi" w:hAnsiTheme="minorHAnsi" w:cs="Times New Roman"/>
                <w:sz w:val="20"/>
                <w:szCs w:val="20"/>
              </w:rPr>
              <w:t xml:space="preserve"> anges som ett värde (sårbarhet) mellan 0 och 1, d</w:t>
            </w:r>
            <w:r w:rsidR="00084AF3">
              <w:rPr>
                <w:rFonts w:asciiTheme="minorHAnsi" w:hAnsiTheme="minorHAnsi" w:cs="Times New Roman"/>
                <w:sz w:val="20"/>
                <w:szCs w:val="20"/>
              </w:rPr>
              <w:t>är sårbarheten delas in i 0-0,2</w:t>
            </w:r>
            <w:r w:rsidR="009E21F3" w:rsidRPr="009E21F3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="0022060F">
              <w:rPr>
                <w:rFonts w:asciiTheme="minorHAnsi" w:hAnsiTheme="minorHAnsi" w:cs="Times New Roman"/>
                <w:sz w:val="20"/>
                <w:szCs w:val="20"/>
              </w:rPr>
              <w:t xml:space="preserve">Mycket </w:t>
            </w:r>
            <w:r w:rsidR="00084AF3">
              <w:rPr>
                <w:rFonts w:asciiTheme="minorHAnsi" w:hAnsiTheme="minorHAnsi" w:cs="Times New Roman"/>
                <w:sz w:val="20"/>
                <w:szCs w:val="20"/>
              </w:rPr>
              <w:t>låg; 0,2-0,4</w:t>
            </w:r>
            <w:r w:rsidR="0022060F">
              <w:rPr>
                <w:rFonts w:asciiTheme="minorHAnsi" w:hAnsiTheme="minorHAnsi" w:cs="Times New Roman"/>
                <w:sz w:val="20"/>
                <w:szCs w:val="20"/>
              </w:rPr>
              <w:t xml:space="preserve"> Låg</w:t>
            </w:r>
            <w:r w:rsidR="0034433B">
              <w:rPr>
                <w:rFonts w:asciiTheme="minorHAnsi" w:hAnsiTheme="minorHAnsi" w:cs="Times New Roman"/>
                <w:sz w:val="20"/>
                <w:szCs w:val="20"/>
              </w:rPr>
              <w:t>;</w:t>
            </w:r>
            <w:r w:rsidR="0022060F">
              <w:rPr>
                <w:rFonts w:asciiTheme="minorHAnsi" w:hAnsiTheme="minorHAnsi" w:cs="Times New Roman"/>
                <w:sz w:val="20"/>
                <w:szCs w:val="20"/>
              </w:rPr>
              <w:t xml:space="preserve"> 0,4-0,6</w:t>
            </w:r>
            <w:r w:rsidR="0034433B">
              <w:rPr>
                <w:rFonts w:asciiTheme="minorHAnsi" w:hAnsiTheme="minorHAnsi" w:cs="Times New Roman"/>
                <w:sz w:val="20"/>
                <w:szCs w:val="20"/>
              </w:rPr>
              <w:t xml:space="preserve"> Måttlig;</w:t>
            </w:r>
            <w:r w:rsidR="009E21F3" w:rsidRPr="009E21F3">
              <w:rPr>
                <w:rFonts w:asciiTheme="minorHAnsi" w:hAnsiTheme="minorHAnsi" w:cs="Times New Roman"/>
                <w:sz w:val="20"/>
                <w:szCs w:val="20"/>
              </w:rPr>
              <w:t xml:space="preserve"> 0,6-0,8</w:t>
            </w:r>
            <w:r w:rsidR="0022060F">
              <w:rPr>
                <w:rFonts w:asciiTheme="minorHAnsi" w:hAnsiTheme="minorHAnsi" w:cs="Times New Roman"/>
                <w:sz w:val="20"/>
                <w:szCs w:val="20"/>
              </w:rPr>
              <w:t xml:space="preserve"> Hög och 0,8-1,0</w:t>
            </w:r>
            <w:r w:rsidR="009E21F3" w:rsidRPr="009E21F3">
              <w:rPr>
                <w:rFonts w:asciiTheme="minorHAnsi" w:hAnsiTheme="minorHAnsi" w:cs="Times New Roman"/>
                <w:sz w:val="20"/>
                <w:szCs w:val="20"/>
              </w:rPr>
              <w:t xml:space="preserve"> Mycket hög.</w:t>
            </w:r>
            <w:r w:rsidR="009E21F3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14:paraId="29FA83F2" w14:textId="77777777" w:rsidR="00F60A67" w:rsidRDefault="00F60A67" w:rsidP="00B71403">
            <w:pPr>
              <w:pStyle w:val="Default"/>
              <w:spacing w:after="6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Förutsättningarna består av parametrarna </w:t>
            </w:r>
            <w:r w:rsidR="00BC6699" w:rsidRPr="004D1FCA">
              <w:rPr>
                <w:rFonts w:asciiTheme="minorHAnsi" w:hAnsiTheme="minorHAnsi" w:cs="Times New Roman"/>
                <w:i/>
                <w:sz w:val="20"/>
                <w:szCs w:val="20"/>
              </w:rPr>
              <w:t>erosionskänslighet</w:t>
            </w:r>
            <w:r w:rsidR="00BC6699">
              <w:rPr>
                <w:rFonts w:asciiTheme="minorHAnsi" w:hAnsiTheme="minorHAnsi" w:cs="Times New Roman"/>
                <w:i/>
                <w:sz w:val="20"/>
                <w:szCs w:val="20"/>
              </w:rPr>
              <w:t>,</w:t>
            </w:r>
            <w:r w:rsidR="00BC6699" w:rsidRPr="004D1FCA">
              <w:rPr>
                <w:rFonts w:asciiTheme="minorHAnsi" w:hAnsiTheme="minorHAnsi" w:cs="Times New Roman"/>
                <w:i/>
                <w:sz w:val="20"/>
                <w:szCs w:val="20"/>
              </w:rPr>
              <w:t xml:space="preserve"> jordartsgeologi</w:t>
            </w:r>
            <w:r w:rsidR="00BC6699">
              <w:rPr>
                <w:rFonts w:asciiTheme="minorHAnsi" w:hAnsiTheme="minorHAnsi" w:cs="Times New Roman"/>
                <w:i/>
                <w:sz w:val="20"/>
                <w:szCs w:val="20"/>
              </w:rPr>
              <w:t>,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4D1FCA">
              <w:rPr>
                <w:rFonts w:asciiTheme="minorHAnsi" w:hAnsiTheme="minorHAnsi" w:cs="Times New Roman"/>
                <w:i/>
                <w:sz w:val="20"/>
                <w:szCs w:val="20"/>
              </w:rPr>
              <w:t>lutning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r w:rsidRPr="004D1FCA">
              <w:rPr>
                <w:rFonts w:asciiTheme="minorHAnsi" w:hAnsiTheme="minorHAnsi" w:cs="Times New Roman"/>
                <w:i/>
                <w:sz w:val="20"/>
                <w:szCs w:val="20"/>
              </w:rPr>
              <w:t>avstånd</w:t>
            </w:r>
            <w:r w:rsidRPr="005B6207">
              <w:rPr>
                <w:rFonts w:asciiTheme="minorHAnsi" w:hAnsiTheme="minorHAnsi" w:cs="Times New Roman"/>
                <w:i/>
                <w:sz w:val="20"/>
                <w:szCs w:val="20"/>
              </w:rPr>
              <w:t xml:space="preserve"> till vatten</w:t>
            </w:r>
            <w:r w:rsidR="00BC6699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r w:rsidR="00BC6699" w:rsidRPr="005B6207">
              <w:rPr>
                <w:rFonts w:asciiTheme="minorHAnsi" w:hAnsiTheme="minorHAnsi" w:cs="Times New Roman"/>
                <w:i/>
                <w:sz w:val="20"/>
                <w:szCs w:val="20"/>
              </w:rPr>
              <w:t>topografi</w:t>
            </w:r>
            <w:r w:rsidR="005B6207">
              <w:rPr>
                <w:rFonts w:asciiTheme="minorHAnsi" w:hAnsiTheme="minorHAnsi" w:cs="Times New Roman"/>
                <w:i/>
                <w:sz w:val="20"/>
                <w:szCs w:val="20"/>
              </w:rPr>
              <w:t>.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="005B6207">
              <w:rPr>
                <w:rFonts w:asciiTheme="minorHAnsi" w:hAnsiTheme="minorHAnsi" w:cs="Times New Roman"/>
                <w:sz w:val="20"/>
                <w:szCs w:val="20"/>
              </w:rPr>
              <w:t>S</w:t>
            </w:r>
            <w:r w:rsidR="00033634">
              <w:rPr>
                <w:rFonts w:asciiTheme="minorHAnsi" w:hAnsiTheme="minorHAnsi" w:cs="Times New Roman"/>
                <w:sz w:val="20"/>
                <w:szCs w:val="20"/>
              </w:rPr>
              <w:t>amhällsvärden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utgörs av en klassning av </w:t>
            </w:r>
            <w:r w:rsidRPr="004D1FCA">
              <w:rPr>
                <w:rFonts w:asciiTheme="minorHAnsi" w:hAnsiTheme="minorHAnsi" w:cs="Times New Roman"/>
                <w:i/>
                <w:sz w:val="20"/>
                <w:szCs w:val="20"/>
              </w:rPr>
              <w:t>byggnader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och </w:t>
            </w:r>
            <w:r w:rsidRPr="004D1FCA">
              <w:rPr>
                <w:rFonts w:asciiTheme="minorHAnsi" w:hAnsiTheme="minorHAnsi" w:cs="Times New Roman"/>
                <w:i/>
                <w:sz w:val="20"/>
                <w:szCs w:val="20"/>
              </w:rPr>
              <w:t>transportinfrastruktu</w:t>
            </w:r>
            <w:r w:rsidRPr="006717B6"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  <w:t>r</w:t>
            </w:r>
            <w:r w:rsidR="00621D9A" w:rsidRPr="006717B6"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621D9A" w:rsidRPr="006717B6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(vägar och järnvägar)</w:t>
            </w:r>
            <w:r w:rsidR="00033634" w:rsidRPr="006717B6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.</w:t>
            </w:r>
          </w:p>
          <w:p w14:paraId="0AA4AD57" w14:textId="36FE5C78" w:rsidR="00120078" w:rsidRPr="008D7C40" w:rsidRDefault="00F60A67" w:rsidP="00505851">
            <w:pPr>
              <w:pStyle w:val="Ingetavstnd"/>
              <w:spacing w:after="120"/>
            </w:pPr>
            <w:r>
              <w:rPr>
                <w:rFonts w:asciiTheme="minorHAnsi" w:hAnsiTheme="minorHAnsi"/>
              </w:rPr>
              <w:t>Underlaget till KSI</w:t>
            </w:r>
            <w:r w:rsidR="00BC6699">
              <w:rPr>
                <w:rFonts w:asciiTheme="minorHAnsi" w:hAnsiTheme="minorHAnsi"/>
              </w:rPr>
              <w:t>-erosion</w:t>
            </w:r>
            <w:r>
              <w:rPr>
                <w:rFonts w:asciiTheme="minorHAnsi" w:hAnsiTheme="minorHAnsi"/>
              </w:rPr>
              <w:t xml:space="preserve"> utgörs av </w:t>
            </w:r>
            <w:r w:rsidRPr="00CD7347">
              <w:rPr>
                <w:rFonts w:asciiTheme="minorHAnsi" w:hAnsiTheme="minorHAnsi"/>
              </w:rPr>
              <w:t xml:space="preserve">Lantmäteriets </w:t>
            </w:r>
            <w:r>
              <w:rPr>
                <w:rFonts w:asciiTheme="minorHAnsi" w:hAnsiTheme="minorHAnsi"/>
              </w:rPr>
              <w:t xml:space="preserve">GSD-Fastighetskartan, vektor och </w:t>
            </w:r>
            <w:r w:rsidRPr="00CD7347">
              <w:rPr>
                <w:rFonts w:asciiTheme="minorHAnsi" w:hAnsiTheme="minorHAnsi"/>
              </w:rPr>
              <w:t xml:space="preserve">GSD-Höjddata, </w:t>
            </w:r>
            <w:proofErr w:type="spellStart"/>
            <w:r w:rsidRPr="00CD7347">
              <w:rPr>
                <w:rFonts w:asciiTheme="minorHAnsi" w:hAnsiTheme="minorHAnsi"/>
              </w:rPr>
              <w:t>grid</w:t>
            </w:r>
            <w:proofErr w:type="spellEnd"/>
            <w:r w:rsidRPr="00CD7347">
              <w:rPr>
                <w:rFonts w:asciiTheme="minorHAnsi" w:hAnsiTheme="minorHAnsi"/>
              </w:rPr>
              <w:t xml:space="preserve"> 2+ (även kallad NH</w:t>
            </w:r>
            <w:r>
              <w:rPr>
                <w:rFonts w:asciiTheme="minorHAnsi" w:hAnsiTheme="minorHAnsi"/>
              </w:rPr>
              <w:t>,</w:t>
            </w:r>
            <w:r w:rsidRPr="00CD7347">
              <w:rPr>
                <w:rFonts w:asciiTheme="minorHAnsi" w:hAnsiTheme="minorHAnsi"/>
              </w:rPr>
              <w:t xml:space="preserve"> Nationell Höjdmodell) och information från SGU</w:t>
            </w:r>
            <w:r>
              <w:rPr>
                <w:rFonts w:asciiTheme="minorHAnsi" w:hAnsiTheme="minorHAnsi"/>
              </w:rPr>
              <w:t>:</w:t>
            </w:r>
            <w:r w:rsidRPr="00CD7347">
              <w:rPr>
                <w:rFonts w:asciiTheme="minorHAnsi" w:hAnsiTheme="minorHAnsi"/>
              </w:rPr>
              <w:t>s jordartsgeologiska databaser</w:t>
            </w:r>
            <w:r>
              <w:rPr>
                <w:rFonts w:asciiTheme="minorHAnsi" w:hAnsiTheme="minorHAnsi"/>
              </w:rPr>
              <w:t xml:space="preserve"> </w:t>
            </w:r>
            <w:r w:rsidR="001C4DCC">
              <w:rPr>
                <w:rFonts w:asciiTheme="minorHAnsi" w:hAnsiTheme="minorHAnsi"/>
              </w:rPr>
              <w:t>samt</w:t>
            </w:r>
            <w:r>
              <w:rPr>
                <w:rFonts w:asciiTheme="minorHAnsi" w:hAnsiTheme="minorHAnsi"/>
              </w:rPr>
              <w:t xml:space="preserve"> </w:t>
            </w:r>
            <w:r w:rsidR="001C4DCC">
              <w:rPr>
                <w:rFonts w:asciiTheme="minorHAnsi" w:hAnsiTheme="minorHAnsi"/>
              </w:rPr>
              <w:t>Stranderosion, kust</w:t>
            </w:r>
            <w:r w:rsidR="0022060F">
              <w:rPr>
                <w:rFonts w:asciiTheme="minorHAnsi" w:hAnsiTheme="minorHAnsi"/>
              </w:rPr>
              <w:t xml:space="preserve"> (Skåne</w:t>
            </w:r>
            <w:r w:rsidR="00504962">
              <w:rPr>
                <w:rFonts w:asciiTheme="minorHAnsi" w:hAnsiTheme="minorHAnsi"/>
              </w:rPr>
              <w:t>, Halland</w:t>
            </w:r>
            <w:r w:rsidR="0022060F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 xml:space="preserve">.  </w:t>
            </w:r>
            <w:r w:rsidRPr="00CD7347">
              <w:rPr>
                <w:rFonts w:asciiTheme="minorHAnsi" w:hAnsiTheme="minorHAnsi"/>
              </w:rPr>
              <w:t>NH är rasterdata med höjdvärden i 2</w:t>
            </w:r>
            <w:r>
              <w:rPr>
                <w:rFonts w:asciiTheme="minorHAnsi" w:hAnsiTheme="minorHAnsi"/>
              </w:rPr>
              <w:t xml:space="preserve"> </w:t>
            </w:r>
            <w:r w:rsidRPr="00CD7347">
              <w:rPr>
                <w:rFonts w:asciiTheme="minorHAnsi" w:hAnsiTheme="minorHAnsi"/>
              </w:rPr>
              <w:t>m-rutor/pixlar. Höjdno</w:t>
            </w:r>
            <w:r>
              <w:rPr>
                <w:rFonts w:asciiTheme="minorHAnsi" w:hAnsiTheme="minorHAnsi"/>
              </w:rPr>
              <w:t xml:space="preserve">ggrannheten är i medel +-0,5 m, </w:t>
            </w:r>
            <w:r w:rsidRPr="00CD7347">
              <w:rPr>
                <w:rFonts w:asciiTheme="minorHAnsi" w:hAnsiTheme="minorHAnsi"/>
              </w:rPr>
              <w:t>för plana ytor +-0,2 m</w:t>
            </w:r>
            <w:r>
              <w:rPr>
                <w:rFonts w:asciiTheme="minorHAnsi" w:hAnsiTheme="minorHAnsi"/>
              </w:rPr>
              <w:t>. Jordartsgeologiska kartan har noggrannheten +-50 m.</w:t>
            </w:r>
          </w:p>
        </w:tc>
      </w:tr>
      <w:tr w:rsidR="00120078" w:rsidRPr="00F21DF5" w14:paraId="15F23DBD" w14:textId="77777777" w:rsidTr="001837AA">
        <w:trPr>
          <w:trHeight w:val="327"/>
        </w:trPr>
        <w:tc>
          <w:tcPr>
            <w:tcW w:w="1526" w:type="dxa"/>
          </w:tcPr>
          <w:p w14:paraId="465D023C" w14:textId="77777777" w:rsidR="00120078" w:rsidRPr="00F14AAD" w:rsidRDefault="00120078" w:rsidP="00EF6A2D">
            <w:pPr>
              <w:spacing w:after="0" w:line="240" w:lineRule="auto"/>
              <w:jc w:val="right"/>
              <w:rPr>
                <w:b/>
              </w:rPr>
            </w:pPr>
            <w:r w:rsidRPr="00F14AAD">
              <w:rPr>
                <w:b/>
              </w:rPr>
              <w:t>Målgrupp:</w:t>
            </w:r>
          </w:p>
        </w:tc>
        <w:tc>
          <w:tcPr>
            <w:tcW w:w="7796" w:type="dxa"/>
            <w:gridSpan w:val="4"/>
          </w:tcPr>
          <w:p w14:paraId="792B874B" w14:textId="77777777" w:rsidR="00120078" w:rsidRPr="008D7C40" w:rsidRDefault="00F60A67" w:rsidP="00505851">
            <w:pPr>
              <w:pStyle w:val="Ingetavstnd"/>
              <w:spacing w:after="120"/>
            </w:pPr>
            <w:r>
              <w:t>S</w:t>
            </w:r>
            <w:r w:rsidRPr="00975C6D">
              <w:t xml:space="preserve">tatliga myndigheter </w:t>
            </w:r>
            <w:r>
              <w:t xml:space="preserve">och kommuner, universitet, räddningstjänst, </w:t>
            </w:r>
            <w:r w:rsidRPr="00975C6D">
              <w:t>konsulter</w:t>
            </w:r>
            <w:r>
              <w:t>, allmänheten.</w:t>
            </w:r>
          </w:p>
        </w:tc>
      </w:tr>
      <w:tr w:rsidR="00120078" w:rsidRPr="00F21DF5" w14:paraId="4FAAB0DA" w14:textId="77777777" w:rsidTr="00502552">
        <w:tc>
          <w:tcPr>
            <w:tcW w:w="1526" w:type="dxa"/>
          </w:tcPr>
          <w:p w14:paraId="093727F2" w14:textId="77777777" w:rsidR="00120078" w:rsidRPr="00F14AAD" w:rsidRDefault="001837AA" w:rsidP="00EF6A2D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A</w:t>
            </w:r>
            <w:r w:rsidR="00120078" w:rsidRPr="00F14AAD">
              <w:rPr>
                <w:b/>
              </w:rPr>
              <w:t>nvändning</w:t>
            </w:r>
            <w:r w:rsidR="00120078">
              <w:rPr>
                <w:b/>
              </w:rPr>
              <w:t>:</w:t>
            </w:r>
          </w:p>
        </w:tc>
        <w:tc>
          <w:tcPr>
            <w:tcW w:w="7796" w:type="dxa"/>
            <w:gridSpan w:val="4"/>
          </w:tcPr>
          <w:p w14:paraId="24042FCE" w14:textId="77777777" w:rsidR="002F705D" w:rsidRPr="008D7C40" w:rsidRDefault="009A59F0" w:rsidP="00B71403">
            <w:pPr>
              <w:pStyle w:val="Ingetavstnd"/>
              <w:spacing w:after="120"/>
            </w:pPr>
            <w:r>
              <w:rPr>
                <w:szCs w:val="22"/>
              </w:rPr>
              <w:t>Kustsårbarhetsindex</w:t>
            </w:r>
            <w:r w:rsidR="00F60A67">
              <w:rPr>
                <w:szCs w:val="22"/>
              </w:rPr>
              <w:t xml:space="preserve"> ger en god bild av de områden som är sårbara för erosion och samtidigt belyser in situ konsekvenser</w:t>
            </w:r>
            <w:r>
              <w:rPr>
                <w:szCs w:val="22"/>
              </w:rPr>
              <w:t xml:space="preserve"> när det gäller byggnader och infrastruktur</w:t>
            </w:r>
            <w:r w:rsidR="00F60A67">
              <w:rPr>
                <w:szCs w:val="22"/>
              </w:rPr>
              <w:t>. Förutsättningarna</w:t>
            </w:r>
            <w:r w:rsidR="00BC6699">
              <w:rPr>
                <w:szCs w:val="22"/>
              </w:rPr>
              <w:t xml:space="preserve"> för erosion </w:t>
            </w:r>
            <w:r w:rsidR="00F60A67">
              <w:rPr>
                <w:szCs w:val="22"/>
              </w:rPr>
              <w:t xml:space="preserve">och </w:t>
            </w:r>
            <w:r w:rsidR="00BC6699">
              <w:rPr>
                <w:szCs w:val="22"/>
              </w:rPr>
              <w:t xml:space="preserve">samhällsvärden </w:t>
            </w:r>
            <w:r w:rsidR="00F60A67">
              <w:rPr>
                <w:szCs w:val="22"/>
              </w:rPr>
              <w:t>kan användas</w:t>
            </w:r>
            <w:r w:rsidR="00BC6699">
              <w:rPr>
                <w:szCs w:val="22"/>
              </w:rPr>
              <w:t xml:space="preserve"> var för sig</w:t>
            </w:r>
            <w:r w:rsidR="00F60A67">
              <w:rPr>
                <w:szCs w:val="22"/>
              </w:rPr>
              <w:t>. KSI</w:t>
            </w:r>
            <w:r w:rsidR="00BC6699">
              <w:rPr>
                <w:szCs w:val="22"/>
              </w:rPr>
              <w:t>-</w:t>
            </w:r>
            <w:r w:rsidR="00F60A67">
              <w:rPr>
                <w:szCs w:val="22"/>
              </w:rPr>
              <w:t xml:space="preserve">erosion är tänkt som ett hjälpmedel vid långsiktig planering, i översiktsplanering eller integrerad kustzonsplanering. Kartan svarar på (ur erosionssynpunkt): </w:t>
            </w:r>
            <w:r>
              <w:rPr>
                <w:szCs w:val="22"/>
              </w:rPr>
              <w:br/>
              <w:t xml:space="preserve">  </w:t>
            </w:r>
            <w:r w:rsidR="00F60A67">
              <w:rPr>
                <w:szCs w:val="22"/>
              </w:rPr>
              <w:t xml:space="preserve">1) Var </w:t>
            </w:r>
            <w:r w:rsidR="00F85C01">
              <w:rPr>
                <w:szCs w:val="22"/>
              </w:rPr>
              <w:t xml:space="preserve">finns sårbara områden idag? </w:t>
            </w:r>
            <w:r>
              <w:rPr>
                <w:szCs w:val="22"/>
              </w:rPr>
              <w:br/>
              <w:t xml:space="preserve">  </w:t>
            </w:r>
            <w:r w:rsidR="00F85C01">
              <w:rPr>
                <w:szCs w:val="22"/>
              </w:rPr>
              <w:t>2) Var bör ytterligare undersökningar genomföras?</w:t>
            </w:r>
          </w:p>
        </w:tc>
      </w:tr>
      <w:tr w:rsidR="00120078" w:rsidRPr="00F21DF5" w14:paraId="32813564" w14:textId="77777777" w:rsidTr="00502552">
        <w:trPr>
          <w:trHeight w:val="308"/>
        </w:trPr>
        <w:tc>
          <w:tcPr>
            <w:tcW w:w="1526" w:type="dxa"/>
          </w:tcPr>
          <w:p w14:paraId="624F6BD1" w14:textId="77777777" w:rsidR="00120078" w:rsidRPr="00F14AAD" w:rsidRDefault="00D3364A" w:rsidP="00EF6A2D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A</w:t>
            </w:r>
            <w:r w:rsidR="00120078">
              <w:rPr>
                <w:b/>
              </w:rPr>
              <w:t>jourhållning</w:t>
            </w:r>
            <w:r w:rsidR="008B5083">
              <w:rPr>
                <w:b/>
              </w:rPr>
              <w:t>:</w:t>
            </w:r>
          </w:p>
        </w:tc>
        <w:tc>
          <w:tcPr>
            <w:tcW w:w="7796" w:type="dxa"/>
            <w:gridSpan w:val="4"/>
          </w:tcPr>
          <w:p w14:paraId="1BE81BDA" w14:textId="77777777" w:rsidR="00120078" w:rsidRPr="008D7C40" w:rsidRDefault="00F60A67" w:rsidP="00C6311D">
            <w:pPr>
              <w:pStyle w:val="Ingetavstnd"/>
              <w:spacing w:after="120"/>
            </w:pPr>
            <w:r>
              <w:t>Produkten ses över och uppdateras vid behov</w:t>
            </w:r>
            <w:r w:rsidR="008C61DE">
              <w:t xml:space="preserve">, till exempel </w:t>
            </w:r>
            <w:r>
              <w:t>när nya förbättrade underlag blir tillgängliga. KSI</w:t>
            </w:r>
            <w:r w:rsidR="00BC6699">
              <w:t>-erosion</w:t>
            </w:r>
            <w:r>
              <w:t xml:space="preserve"> för </w:t>
            </w:r>
            <w:r w:rsidR="00C6311D">
              <w:t>fler</w:t>
            </w:r>
            <w:r>
              <w:t xml:space="preserve"> kuststräckor planeras.</w:t>
            </w:r>
          </w:p>
        </w:tc>
      </w:tr>
      <w:tr w:rsidR="00120078" w:rsidRPr="00F21DF5" w14:paraId="46D9C4D8" w14:textId="77777777" w:rsidTr="00502552">
        <w:trPr>
          <w:trHeight w:val="287"/>
        </w:trPr>
        <w:tc>
          <w:tcPr>
            <w:tcW w:w="1526" w:type="dxa"/>
          </w:tcPr>
          <w:p w14:paraId="21EA03D6" w14:textId="77777777" w:rsidR="00034821" w:rsidRPr="00F14AAD" w:rsidRDefault="00120078" w:rsidP="00EF6A2D">
            <w:pPr>
              <w:spacing w:after="0" w:line="240" w:lineRule="auto"/>
              <w:jc w:val="right"/>
              <w:rPr>
                <w:b/>
              </w:rPr>
            </w:pPr>
            <w:r w:rsidRPr="00F14AAD">
              <w:rPr>
                <w:b/>
              </w:rPr>
              <w:t>Åtkomst:</w:t>
            </w:r>
          </w:p>
        </w:tc>
        <w:tc>
          <w:tcPr>
            <w:tcW w:w="7796" w:type="dxa"/>
            <w:gridSpan w:val="4"/>
          </w:tcPr>
          <w:p w14:paraId="29A1FFA9" w14:textId="5819F24A" w:rsidR="00120078" w:rsidRPr="008D7C40" w:rsidRDefault="000C4964" w:rsidP="00B73FF0">
            <w:pPr>
              <w:pStyle w:val="Ingetavstnd"/>
            </w:pPr>
            <w:bookmarkStart w:id="0" w:name="_Hlk106886464"/>
            <w:r>
              <w:t xml:space="preserve">Kartvisningstjänst </w:t>
            </w:r>
            <w:r w:rsidR="00F60A67">
              <w:t>(WMS). Beställningsprodukt (fysiska GIS-lager) via SGI:s hemsida</w:t>
            </w:r>
            <w:r w:rsidR="00504962">
              <w:t xml:space="preserve"> samt via Nationella Geodataportalen.</w:t>
            </w:r>
            <w:bookmarkEnd w:id="0"/>
          </w:p>
        </w:tc>
      </w:tr>
    </w:tbl>
    <w:p w14:paraId="2B617321" w14:textId="77777777" w:rsidR="008B32C4" w:rsidRDefault="008B32C4" w:rsidP="00D028FE"/>
    <w:sectPr w:rsidR="008B32C4" w:rsidSect="00462BAB">
      <w:footerReference w:type="default" r:id="rId17"/>
      <w:pgSz w:w="11906" w:h="16838" w:code="9"/>
      <w:pgMar w:top="1418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22B3" w14:textId="77777777" w:rsidR="00271DA4" w:rsidRDefault="00271DA4" w:rsidP="008B5083">
      <w:pPr>
        <w:spacing w:after="0" w:line="240" w:lineRule="auto"/>
      </w:pPr>
      <w:r>
        <w:separator/>
      </w:r>
    </w:p>
  </w:endnote>
  <w:endnote w:type="continuationSeparator" w:id="0">
    <w:p w14:paraId="26FA7100" w14:textId="77777777" w:rsidR="00271DA4" w:rsidRDefault="00271DA4" w:rsidP="008B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363E" w14:textId="77777777" w:rsidR="00BA353C" w:rsidRPr="00462BAB" w:rsidRDefault="00BA353C" w:rsidP="00BA353C">
    <w:pPr>
      <w:pStyle w:val="Sidfot"/>
      <w:jc w:val="center"/>
      <w:rPr>
        <w:rFonts w:ascii="Arial" w:hAnsi="Arial" w:cs="Arial"/>
        <w:color w:val="4278B8"/>
      </w:rPr>
    </w:pPr>
    <w:r w:rsidRPr="00462BAB">
      <w:rPr>
        <w:rFonts w:ascii="Arial" w:eastAsiaTheme="minorHAnsi" w:hAnsi="Arial" w:cs="Arial"/>
        <w:color w:val="4278B8"/>
        <w:sz w:val="16"/>
        <w:szCs w:val="16"/>
      </w:rPr>
      <w:t>Kartunderlag om ras, skred och erosion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924B3" w14:textId="77777777" w:rsidR="00271DA4" w:rsidRDefault="00271DA4" w:rsidP="008B5083">
      <w:pPr>
        <w:spacing w:after="0" w:line="240" w:lineRule="auto"/>
      </w:pPr>
      <w:r>
        <w:separator/>
      </w:r>
    </w:p>
  </w:footnote>
  <w:footnote w:type="continuationSeparator" w:id="0">
    <w:p w14:paraId="3F08DE99" w14:textId="77777777" w:rsidR="00271DA4" w:rsidRDefault="00271DA4" w:rsidP="008B5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A4"/>
    <w:rsid w:val="0002531B"/>
    <w:rsid w:val="00033634"/>
    <w:rsid w:val="00034821"/>
    <w:rsid w:val="0005721D"/>
    <w:rsid w:val="00084AF3"/>
    <w:rsid w:val="000A6B9E"/>
    <w:rsid w:val="000C4964"/>
    <w:rsid w:val="000C507A"/>
    <w:rsid w:val="000D0ACC"/>
    <w:rsid w:val="000D1A66"/>
    <w:rsid w:val="000D4DC5"/>
    <w:rsid w:val="000E499A"/>
    <w:rsid w:val="000F0FC1"/>
    <w:rsid w:val="00101EA2"/>
    <w:rsid w:val="00120078"/>
    <w:rsid w:val="00121352"/>
    <w:rsid w:val="00122473"/>
    <w:rsid w:val="00124708"/>
    <w:rsid w:val="00163666"/>
    <w:rsid w:val="001837AA"/>
    <w:rsid w:val="00192819"/>
    <w:rsid w:val="00197393"/>
    <w:rsid w:val="001A056A"/>
    <w:rsid w:val="001B5912"/>
    <w:rsid w:val="001C4DCC"/>
    <w:rsid w:val="00205E13"/>
    <w:rsid w:val="0022060F"/>
    <w:rsid w:val="00241BE7"/>
    <w:rsid w:val="002529B7"/>
    <w:rsid w:val="00271DA4"/>
    <w:rsid w:val="002A676B"/>
    <w:rsid w:val="002B0CD4"/>
    <w:rsid w:val="002B2BC3"/>
    <w:rsid w:val="002D49A5"/>
    <w:rsid w:val="002E704E"/>
    <w:rsid w:val="002F07E2"/>
    <w:rsid w:val="002F705D"/>
    <w:rsid w:val="0034433B"/>
    <w:rsid w:val="00370AE2"/>
    <w:rsid w:val="00383782"/>
    <w:rsid w:val="00395B61"/>
    <w:rsid w:val="003A696F"/>
    <w:rsid w:val="003B5925"/>
    <w:rsid w:val="003C21D0"/>
    <w:rsid w:val="003E64A8"/>
    <w:rsid w:val="003F133F"/>
    <w:rsid w:val="0041423E"/>
    <w:rsid w:val="004347E8"/>
    <w:rsid w:val="00442369"/>
    <w:rsid w:val="00462BAB"/>
    <w:rsid w:val="00466154"/>
    <w:rsid w:val="00473118"/>
    <w:rsid w:val="00480B6A"/>
    <w:rsid w:val="00484985"/>
    <w:rsid w:val="004875C3"/>
    <w:rsid w:val="00492F11"/>
    <w:rsid w:val="00502552"/>
    <w:rsid w:val="00504962"/>
    <w:rsid w:val="00505851"/>
    <w:rsid w:val="00520205"/>
    <w:rsid w:val="00523231"/>
    <w:rsid w:val="00537C8F"/>
    <w:rsid w:val="005738C8"/>
    <w:rsid w:val="005A2478"/>
    <w:rsid w:val="005B6207"/>
    <w:rsid w:val="005C500F"/>
    <w:rsid w:val="005C58E1"/>
    <w:rsid w:val="005E3444"/>
    <w:rsid w:val="005E76AF"/>
    <w:rsid w:val="005F3A14"/>
    <w:rsid w:val="00607A86"/>
    <w:rsid w:val="00621D9A"/>
    <w:rsid w:val="006717B6"/>
    <w:rsid w:val="00686B4C"/>
    <w:rsid w:val="00696A02"/>
    <w:rsid w:val="006A376F"/>
    <w:rsid w:val="006E53BD"/>
    <w:rsid w:val="00704D03"/>
    <w:rsid w:val="00732CC6"/>
    <w:rsid w:val="0073375C"/>
    <w:rsid w:val="00754751"/>
    <w:rsid w:val="00774F5D"/>
    <w:rsid w:val="00790EA6"/>
    <w:rsid w:val="0079348B"/>
    <w:rsid w:val="007B7AB1"/>
    <w:rsid w:val="007C26B6"/>
    <w:rsid w:val="007D3C5C"/>
    <w:rsid w:val="007E0AF0"/>
    <w:rsid w:val="00801EFB"/>
    <w:rsid w:val="008B2000"/>
    <w:rsid w:val="008B32C4"/>
    <w:rsid w:val="008B5083"/>
    <w:rsid w:val="008C15CF"/>
    <w:rsid w:val="008C61DE"/>
    <w:rsid w:val="008D0CD8"/>
    <w:rsid w:val="008D0F8D"/>
    <w:rsid w:val="0090688A"/>
    <w:rsid w:val="009309F0"/>
    <w:rsid w:val="0093119D"/>
    <w:rsid w:val="009334DC"/>
    <w:rsid w:val="00944719"/>
    <w:rsid w:val="009658F9"/>
    <w:rsid w:val="00975448"/>
    <w:rsid w:val="009815A1"/>
    <w:rsid w:val="00997FBE"/>
    <w:rsid w:val="009A59F0"/>
    <w:rsid w:val="009B4F48"/>
    <w:rsid w:val="009C0E76"/>
    <w:rsid w:val="009C6359"/>
    <w:rsid w:val="009E21F3"/>
    <w:rsid w:val="009F52B6"/>
    <w:rsid w:val="00A00ABB"/>
    <w:rsid w:val="00A15919"/>
    <w:rsid w:val="00A264E4"/>
    <w:rsid w:val="00AC0A60"/>
    <w:rsid w:val="00AD5143"/>
    <w:rsid w:val="00B3470D"/>
    <w:rsid w:val="00B37BFD"/>
    <w:rsid w:val="00B46947"/>
    <w:rsid w:val="00B525FB"/>
    <w:rsid w:val="00B70330"/>
    <w:rsid w:val="00B71403"/>
    <w:rsid w:val="00B73FF0"/>
    <w:rsid w:val="00B75A2A"/>
    <w:rsid w:val="00BA353C"/>
    <w:rsid w:val="00BA4C80"/>
    <w:rsid w:val="00BB14DF"/>
    <w:rsid w:val="00BB1B85"/>
    <w:rsid w:val="00BB5BD4"/>
    <w:rsid w:val="00BB6793"/>
    <w:rsid w:val="00BB7301"/>
    <w:rsid w:val="00BC228A"/>
    <w:rsid w:val="00BC6699"/>
    <w:rsid w:val="00BD6499"/>
    <w:rsid w:val="00BD671E"/>
    <w:rsid w:val="00BF0BA7"/>
    <w:rsid w:val="00BF0F53"/>
    <w:rsid w:val="00C0425C"/>
    <w:rsid w:val="00C148F2"/>
    <w:rsid w:val="00C16EFE"/>
    <w:rsid w:val="00C30D73"/>
    <w:rsid w:val="00C444DD"/>
    <w:rsid w:val="00C55FEA"/>
    <w:rsid w:val="00C561DB"/>
    <w:rsid w:val="00C6311D"/>
    <w:rsid w:val="00C840C1"/>
    <w:rsid w:val="00CB5F7A"/>
    <w:rsid w:val="00CC3CCD"/>
    <w:rsid w:val="00D028FE"/>
    <w:rsid w:val="00D118EA"/>
    <w:rsid w:val="00D1319C"/>
    <w:rsid w:val="00D3364A"/>
    <w:rsid w:val="00D4653C"/>
    <w:rsid w:val="00D630D2"/>
    <w:rsid w:val="00D73663"/>
    <w:rsid w:val="00D83902"/>
    <w:rsid w:val="00D86938"/>
    <w:rsid w:val="00D95CF9"/>
    <w:rsid w:val="00DA54F0"/>
    <w:rsid w:val="00DB6560"/>
    <w:rsid w:val="00DC3C52"/>
    <w:rsid w:val="00DD50E5"/>
    <w:rsid w:val="00DF2BA8"/>
    <w:rsid w:val="00E257F6"/>
    <w:rsid w:val="00E3089F"/>
    <w:rsid w:val="00E55580"/>
    <w:rsid w:val="00E572D2"/>
    <w:rsid w:val="00EC4131"/>
    <w:rsid w:val="00ED5A08"/>
    <w:rsid w:val="00EF5A27"/>
    <w:rsid w:val="00EF6A2D"/>
    <w:rsid w:val="00F04E2F"/>
    <w:rsid w:val="00F1033C"/>
    <w:rsid w:val="00F1258D"/>
    <w:rsid w:val="00F377E0"/>
    <w:rsid w:val="00F46A4F"/>
    <w:rsid w:val="00F54E9C"/>
    <w:rsid w:val="00F56ECD"/>
    <w:rsid w:val="00F60A67"/>
    <w:rsid w:val="00F7528D"/>
    <w:rsid w:val="00F76A93"/>
    <w:rsid w:val="00F85C01"/>
    <w:rsid w:val="00F93162"/>
    <w:rsid w:val="00FB08A9"/>
    <w:rsid w:val="00FB6603"/>
    <w:rsid w:val="00FC1AB9"/>
    <w:rsid w:val="00FC219E"/>
    <w:rsid w:val="00FC693E"/>
    <w:rsid w:val="00F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8FEA270"/>
  <w15:docId w15:val="{836A377F-64EB-488C-895D-82D3865A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078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rsid w:val="00120078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120078"/>
    <w:rPr>
      <w:color w:val="0000FF" w:themeColor="hyperlink"/>
      <w:u w:val="single"/>
    </w:rPr>
  </w:style>
  <w:style w:type="paragraph" w:styleId="Ingetavstnd">
    <w:name w:val="No Spacing"/>
    <w:uiPriority w:val="99"/>
    <w:qFormat/>
    <w:rsid w:val="00120078"/>
    <w:pPr>
      <w:spacing w:after="0" w:line="240" w:lineRule="auto"/>
    </w:pPr>
    <w:rPr>
      <w:rFonts w:ascii="Calibri" w:eastAsia="Calibri" w:hAnsi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0078"/>
    <w:rPr>
      <w:rFonts w:ascii="Tahoma" w:eastAsia="Calibri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B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B5083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8B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B5083"/>
    <w:rPr>
      <w:rFonts w:ascii="Calibri" w:eastAsia="Calibri" w:hAnsi="Calibri" w:cs="Times New Roman"/>
    </w:rPr>
  </w:style>
  <w:style w:type="character" w:styleId="AnvndHyperlnk">
    <w:name w:val="FollowedHyperlink"/>
    <w:basedOn w:val="Standardstycketeckensnitt"/>
    <w:uiPriority w:val="99"/>
    <w:semiHidden/>
    <w:unhideWhenUsed/>
    <w:rsid w:val="00FC219E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41B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41B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41BE7"/>
    <w:rPr>
      <w:rFonts w:ascii="Calibri" w:eastAsia="Calibri" w:hAnsi="Calibri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41BE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41BE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60A67"/>
    <w:pPr>
      <w:autoSpaceDE w:val="0"/>
      <w:autoSpaceDN w:val="0"/>
      <w:adjustRightInd w:val="0"/>
      <w:spacing w:after="0" w:line="240" w:lineRule="auto"/>
    </w:pPr>
    <w:rPr>
      <w:rFonts w:ascii="AGaramond" w:eastAsia="Times New Roman" w:hAnsi="AGaramond" w:cs="AGaramond"/>
      <w:color w:val="000000"/>
      <w:sz w:val="24"/>
      <w:szCs w:val="24"/>
    </w:rPr>
  </w:style>
  <w:style w:type="character" w:styleId="Nmn">
    <w:name w:val="Mention"/>
    <w:basedOn w:val="Standardstycketeckensnitt"/>
    <w:uiPriority w:val="99"/>
    <w:semiHidden/>
    <w:unhideWhenUsed/>
    <w:rsid w:val="009E21F3"/>
    <w:rPr>
      <w:color w:val="2B579A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C84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va-portal.org/smash/get/diva2:1326662/FULLTEXT01.pdf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gi.se" TargetMode="Externa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is.sgi.se/ksi_erosion/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3147F-46DE-4AC5-B486-222817CC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595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Statens Geotekniska Institut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Danielsson</dc:creator>
  <cp:lastModifiedBy>Mats Öberg</cp:lastModifiedBy>
  <cp:revision>9</cp:revision>
  <cp:lastPrinted>2017-12-13T17:18:00Z</cp:lastPrinted>
  <dcterms:created xsi:type="dcterms:W3CDTF">2022-06-23T08:32:00Z</dcterms:created>
  <dcterms:modified xsi:type="dcterms:W3CDTF">2025-11-25T12:20:00Z</dcterms:modified>
</cp:coreProperties>
</file>